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q31ogy45z5gu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Настоящая Политика конфиденциальности (далее — «Политика») определяет порядок обработки и защиты персональных данных пользователей (далее — «Пользователь»), предоставляемых при использовании сайта grohe.promo (далее — «Сайт»).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dpqyyte4l57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Политика разработана в соответствии с законодательством Республики Казахстан в области защиты персональных данных.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Используя Сайт, Пользователь соглашается с условиями настоящей Политики.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dsa3tz1kgi9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Состав персональных данных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Организатор собирает следующие персональные данные Пользователей: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Номер телефона;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Адрес электронной почты (при указании);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Имя.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h0wi1rtaukc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Цели обработки данных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3.1. Персональные данные используются для следующих целей: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Обеспечение участия Пользователей в игровой активности;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Отправка промокодов и информации о скидках;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Участие в розыгрышах;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Информирование о результатах и специальных предложениях;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Улучшение качества обслуживания и работы Сайта.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lq7ou7spn6h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Хранение и защита данных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4.1. Персональные данные хранятся в защищенных базах данных и обрабатываются с использованием современных средств защиты информации. 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4.2. Срок хранения данных — до завершения акций и в течение 12 месяцев после их окончания. 4.3. Организатор принимает все необходимые меры для защиты персональных данных Пользователей от неправомерного доступа, изменения, раскрытия или уничтожения.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z9sv071iulq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Передача данных третьим лицам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5.1. Организатор обязуется не передавать персональные данные третьим лицам без согласия Пользователя, за исключением случаев, предусмотренных законодательством Республики Казахстан.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blj84bdelxs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Права Пользователей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6.1. Пользователь имеет право: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Получать информацию о своих персональных данных, обрабатываемых Организатором;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Требовать исправления, удаления или ограничения обработки своих данных;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Отозвать согласие на обработку данных, направив запрос через контактные формы на Сайте grohe-cac.com/ru.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sbnf7zdweus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Изменения в Политике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7.1. Организатор оставляет за собой право вносить изменения в настоящую Политику. Актуальная версия Политики публикуется на Сайте.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7.2. Пользователь обязан самостоятельно следить за изменениями в Политике, регулярно проверяя её актуальную версию на Сайте.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ih5vlwqspf8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Контактная информация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8.1. По вопросам, связанным с обработкой персональных данных, Пользователь может связаться с Организатором по следующему адресу: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Республика Казахстан, 050000, г. Алматы, ул. Абиша Кекилбайулы, 34, 10 этаж, офис 10-4.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8.2. Электронная почта для связи: info@grohe.promo.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